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22215" cy="230886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775" cy="328422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2045" cy="272796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都是优先匹配最长的： 前向最大匹配、后向最大匹配</w:t>
      </w:r>
    </w:p>
    <w:p>
      <w:r>
        <w:drawing>
          <wp:inline distT="0" distB="0" distL="114300" distR="114300">
            <wp:extent cx="5265420" cy="19278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ascii="宋体" w:hAnsi="宋体" w:eastAsia="宋体" w:cs="宋体"/>
          <w:b/>
          <w:bCs/>
          <w:color w:val="00B050"/>
          <w:sz w:val="36"/>
          <w:szCs w:val="36"/>
        </w:rPr>
      </w:pPr>
      <w:r>
        <w:rPr>
          <w:rFonts w:hint="eastAsia" w:hAnsi="宋体" w:eastAsia="宋体" w:cs="宋体"/>
          <w:b/>
          <w:bCs/>
          <w:color w:val="00B050"/>
          <w:sz w:val="36"/>
          <w:szCs w:val="36"/>
        </w:rPr>
        <w:t>1</w:t>
      </w:r>
      <w:r>
        <w:rPr>
          <w:rFonts w:hint="eastAsia" w:ascii="宋体" w:hAnsi="宋体" w:eastAsia="宋体" w:cs="宋体"/>
          <w:b/>
          <w:bCs/>
          <w:color w:val="00B050"/>
          <w:sz w:val="36"/>
          <w:szCs w:val="36"/>
        </w:rPr>
        <w:t>、Trie树</w:t>
      </w:r>
    </w:p>
    <w:p>
      <w:r>
        <w:drawing>
          <wp:inline distT="0" distB="0" distL="114300" distR="114300">
            <wp:extent cx="5269865" cy="2103755"/>
            <wp:effectExtent l="0" t="0" r="31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color w:val="00B050"/>
          <w:sz w:val="36"/>
          <w:szCs w:val="36"/>
        </w:rPr>
      </w:pPr>
      <w:r>
        <w:rPr>
          <w:rFonts w:hint="eastAsia"/>
          <w:b/>
          <w:bCs/>
          <w:color w:val="00B050"/>
          <w:sz w:val="36"/>
          <w:szCs w:val="36"/>
        </w:rPr>
        <w:t>2、有向无环图（DAG）</w:t>
      </w:r>
    </w:p>
    <w:p>
      <w:r>
        <w:drawing>
          <wp:inline distT="0" distB="0" distL="114300" distR="114300">
            <wp:extent cx="5269865" cy="20497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Theme="minor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</w:pPr>
      <w:r>
        <w:rPr>
          <w:rFonts w:hint="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  <w:t>3</w:t>
      </w:r>
      <w:r>
        <w:rPr>
          <w:rFonts w:hint="eastAsia" w:asciiTheme="minor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  <w:t>、条件概率</w:t>
      </w:r>
    </w:p>
    <w:p>
      <w:pPr>
        <w:ind w:firstLine="420"/>
        <w:rPr>
          <w:rFonts w:ascii="宋体" w:hAnsi="宋体" w:eastAsia="宋体" w:cs="宋体"/>
          <w:color w:val="333333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条件概率是指事件A在另外一个</w:t>
      </w:r>
      <w:r>
        <w:rPr>
          <w:rFonts w:hint="eastAsia"/>
        </w:rPr>
        <w:fldChar w:fldCharType="begin"/>
      </w:r>
      <w:r>
        <w:instrText xml:space="preserve"> HYPERLINK "https://baike.baidu.com/item/%E4%BA%8B%E4%BB%B6/33582"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事件</w:t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B已经发生条件下的发生</w:t>
      </w:r>
      <w:r>
        <w:rPr>
          <w:rFonts w:hint="eastAsia"/>
        </w:rPr>
        <w:fldChar w:fldCharType="begin"/>
      </w:r>
      <w:r>
        <w:instrText xml:space="preserve"> HYPERLINK "https://baike.baidu.com/item/%E6%A6%82%E7%8E%87"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概率</w:t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。条件</w:t>
      </w:r>
      <w:r>
        <w:fldChar w:fldCharType="begin"/>
      </w:r>
      <w:r>
        <w:instrText xml:space="preserve"> HYPERLINK "https://baike.baidu.com/item/%E6%A6%82%E7%8E%87" \t "https://baike.baidu.com/item/%E6%9D%A1%E4%BB%B6%E6%A6%82%E7%8E%87/_blank" </w:instrText>
      </w:r>
      <w:r>
        <w:fldChar w:fldCharType="separate"/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概率</w:t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表示为：P（A|B），读作“在B条件下A的概率”。条件概率可以用</w:t>
      </w:r>
      <w:r>
        <w:rPr>
          <w:rFonts w:hint="eastAsia"/>
        </w:rPr>
        <w:fldChar w:fldCharType="begin"/>
      </w:r>
      <w:r>
        <w:instrText xml:space="preserve"> HYPERLINK "https://baike.baidu.com/item/%E5%86%B3%E7%AD%96%E6%A0%91"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t>决策树</w:t>
      </w:r>
      <w:r>
        <w:rPr>
          <w:rStyle w:val="6"/>
          <w:rFonts w:hint="eastAsia" w:ascii="宋体" w:hAnsi="宋体" w:eastAsia="宋体" w:cs="宋体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 xml:space="preserve">进行计算。条件概率的谬论是假设 </w:t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P(A|B) 大致等于 P(B|A)</w:t>
      </w:r>
      <w:r>
        <w:rPr>
          <w:rFonts w:hint="eastAsia" w:ascii="宋体" w:hAnsi="宋体" w:eastAsia="宋体" w:cs="宋体"/>
          <w:color w:val="333333"/>
          <w:sz w:val="32"/>
          <w:szCs w:val="32"/>
          <w:shd w:val="clear" w:color="auto" w:fill="FFFFFF"/>
        </w:rPr>
        <w:t>。</w:t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若只有两个事件A，B，那么，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1076325" cy="381000"/>
            <wp:effectExtent l="0" t="0" r="571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336"/>
        <w:jc w:val="left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设 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80975" cy="142875"/>
            <wp:effectExtent l="0" t="0" r="1905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3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，…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2" name="图片 1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为任意n 个事件（n≥2）且 </w:t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228725" cy="171450"/>
            <wp:effectExtent l="0" t="0" r="5715" b="11430"/>
            <wp:docPr id="14" name="图片 1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333333"/>
          <w:kern w:val="0"/>
          <w:sz w:val="30"/>
          <w:szCs w:val="30"/>
          <w:shd w:val="clear" w:color="auto" w:fill="FFFFFF"/>
          <w:lang w:bidi="ar"/>
        </w:rPr>
        <w:t> ，则</w:t>
      </w:r>
    </w:p>
    <w:p>
      <w:pPr>
        <w:widowControl/>
        <w:shd w:val="clear" w:color="auto" w:fill="FFFFFF"/>
        <w:ind w:firstLine="336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3733800" cy="171450"/>
            <wp:effectExtent l="0" t="0" r="0" b="11430"/>
            <wp:docPr id="15" name="图片 1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公式转换：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 xml:space="preserve">P(A|B) = P(A, B) / P(B) 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P(A,B) = P(A|B) * P(B)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P(A,B) = P(B|A) * P(A)</w:t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全概率公式:</w:t>
      </w:r>
    </w:p>
    <w:p>
      <w:pPr>
        <w:widowControl/>
        <w:ind w:left="84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设事件组 </w:t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247650" cy="152400"/>
            <wp:effectExtent l="0" t="0" r="1143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 是样本空间Ω 的一个划分，且P（Bi）&gt;0（i=1，2，…n）则对任一事件B，有</w:t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t> </w:t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ab/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ab/>
      </w:r>
      <w:r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1676400" cy="447675"/>
            <wp:effectExtent l="0" t="0" r="0" b="9525"/>
            <wp:docPr id="18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贝叶斯公式：</w:t>
      </w:r>
    </w:p>
    <w:p>
      <w:pPr>
        <w:widowControl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>P(A|B) = P(B|A) * P(A) / P(B)；</w:t>
      </w:r>
    </w:p>
    <w:p>
      <w:pPr>
        <w:widowControl/>
        <w:shd w:val="clear" w:color="auto" w:fill="FFFFFF"/>
        <w:spacing w:after="180" w:line="288" w:lineRule="atLeast"/>
        <w:ind w:left="420" w:firstLine="420"/>
        <w:jc w:val="left"/>
        <w:rPr>
          <w:rFonts w:ascii="宋体" w:hAnsi="宋体" w:eastAsia="宋体" w:cs="宋体"/>
          <w:color w:val="136EC2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>设B1，B2，…Bn…是一完备事件组，则对任一事件A，</w:t>
      </w: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5B9BD5" w:themeColor="accent1"/>
          <w:kern w:val="0"/>
          <w:sz w:val="32"/>
          <w:szCs w:val="32"/>
          <w:shd w:val="clear" w:color="auto" w:fill="FFFFFF"/>
          <w:lang w:bidi="ar"/>
          <w14:textFill>
            <w14:solidFill>
              <w14:schemeClr w14:val="accent1"/>
            </w14:solidFill>
          </w14:textFill>
        </w:rPr>
        <w:t>P（A）&gt;0，有：</w:t>
      </w:r>
      <w:r>
        <w:rPr>
          <w:rFonts w:ascii="Arial" w:hAnsi="Arial" w:eastAsia="宋体" w:cs="Arial"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2667000" cy="381000"/>
            <wp:effectExtent l="0" t="0" r="0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136EC2"/>
          <w:sz w:val="32"/>
          <w:szCs w:val="32"/>
          <w:shd w:val="clear" w:color="auto" w:fill="FFFFFF"/>
        </w:rPr>
        <w:t xml:space="preserve"> </w:t>
      </w:r>
    </w:p>
    <w:p>
      <w:pPr>
        <w:numPr>
          <w:ilvl w:val="0"/>
          <w:numId w:val="1"/>
        </w:numPr>
        <w:rPr>
          <w:rFonts w:ascii="Arial" w:hAnsi="Arial" w:eastAsia="宋体" w:cs="Arial"/>
          <w:b/>
          <w:color w:val="00B050"/>
          <w:sz w:val="36"/>
          <w:szCs w:val="36"/>
          <w:shd w:val="clear" w:color="auto" w:fill="FFFFFF"/>
        </w:rPr>
      </w:pPr>
      <w:r>
        <w:rPr>
          <w:rFonts w:hint="eastAsia" w:ascii="Arial" w:hAnsi="Arial" w:eastAsia="宋体" w:cs="Arial"/>
          <w:b/>
          <w:color w:val="00B050"/>
          <w:sz w:val="36"/>
          <w:szCs w:val="36"/>
          <w:shd w:val="clear" w:color="auto" w:fill="FFFFFF"/>
        </w:rPr>
        <w:t>联合概率</w:t>
      </w:r>
    </w:p>
    <w:p>
      <w:pPr>
        <w:ind w:firstLine="420"/>
        <w:rPr>
          <w:rFonts w:asciiTheme="minorEastAsia" w:hAnsiTheme="minorEastAsia" w:cstheme="minorEastAsia"/>
          <w:color w:val="333333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表示两个事件共同发生的概率。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与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的联合概率表示为 P(AB) 或者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P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(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,</w:t>
      </w:r>
      <w:r>
        <w:rPr>
          <w:rFonts w:hint="eastAsia" w:asciiTheme="minorEastAsia" w:hAnsiTheme="minorEastAsia" w:cstheme="minor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hint="eastAsia" w:asciiTheme="minorEastAsia" w:hAnsiTheme="minorEastAsia" w:cstheme="minorEastAsia"/>
          <w:color w:val="333333"/>
          <w:sz w:val="32"/>
          <w:szCs w:val="32"/>
          <w:shd w:val="clear" w:color="auto" w:fill="FFFFFF"/>
        </w:rPr>
        <w:t>),或者P（A∩B）。</w:t>
      </w:r>
    </w:p>
    <w:p>
      <w:r>
        <w:drawing>
          <wp:inline distT="0" distB="0" distL="114300" distR="114300">
            <wp:extent cx="5271135" cy="2079625"/>
            <wp:effectExtent l="0" t="0" r="190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185670"/>
            <wp:effectExtent l="0" t="0" r="571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widowControl/>
        <w:shd w:val="clear" w:color="auto" w:fill="FFFFFF"/>
        <w:spacing w:after="180" w:line="288" w:lineRule="atLeast"/>
        <w:ind w:firstLine="420"/>
        <w:jc w:val="left"/>
        <w:rPr>
          <w:rFonts w:asciiTheme="minorEastAsia" w:hAnsiTheme="minorEastAsia" w:cstheme="minor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</w:pPr>
      <w:r>
        <w:rPr>
          <w:rFonts w:hint="eastAsia" w:asciiTheme="minorEastAsia" w:hAnsiTheme="minorEastAsia" w:cstheme="minorEastAsia"/>
          <w:b/>
          <w:bCs/>
          <w:color w:val="00B050"/>
          <w:kern w:val="0"/>
          <w:sz w:val="36"/>
          <w:szCs w:val="36"/>
          <w:shd w:val="clear" w:color="auto" w:fill="FFFFFF"/>
          <w:lang w:bidi="ar"/>
        </w:rPr>
        <w:t>5、独立同分布</w:t>
      </w:r>
      <w:r>
        <w:rPr>
          <w:rFonts w:hint="eastAsia" w:asciiTheme="minorEastAsia" w:hAnsiTheme="minorEastAsia" w:cstheme="minor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  <w:t xml:space="preserve"> </w:t>
      </w:r>
    </w:p>
    <w:p>
      <w:pPr>
        <w:widowControl/>
        <w:shd w:val="clear" w:color="auto" w:fill="FFFFFF"/>
        <w:spacing w:after="180" w:line="288" w:lineRule="atLeast"/>
        <w:ind w:left="420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在概率统计理论中，指随机过程中，任何时刻的取值都为随机变量，如果这些随机变量服从同一</w:t>
      </w:r>
      <w:r>
        <w:fldChar w:fldCharType="begin"/>
      </w:r>
      <w:r>
        <w:instrText xml:space="preserve"> HYPERLINK "https://baike.baidu.com/item/%E5%88%86%E5%B8%83" \t "https://baike.baidu.com/item/%E7%8B%AC%E7%AB%8B%E5%90%8C%E5%88%86%E5%B8%83/_blank" </w:instrText>
      </w:r>
      <w:r>
        <w:fldChar w:fldCharType="separate"/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分布</w:t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并且互相独立，那么这些随机变量是独立同分布。如果随机变量X1和X2独立，是指X1的取值不影响X2的取值，X2的取值也不影响X1的取值且随机变量X1和X2服从同一分布，这意味着X1和X2具有相同的分布形状和相同的分布参数，对离随机变量具有相同的分布律，对连续随机变量具有相同的</w:t>
      </w:r>
      <w:r>
        <w:rPr>
          <w:rFonts w:hint="eastAsia"/>
        </w:rPr>
        <w:fldChar w:fldCharType="begin"/>
      </w:r>
      <w:r>
        <w:instrText xml:space="preserve"> HYPERLINK "https://baike.baidu.com/item/%E6%A6%82%E7%8E%87%E5%AF%86%E5%BA%A6%E5%87%BD%E6%95%B0" \t "https://baike.baidu.com/item/%E7%8B%AC%E7%AB%8B%E5%90%8C%E5%88%86%E5%B8%83/_blank" </w:instrText>
      </w:r>
      <w:r>
        <w:rPr>
          <w:rFonts w:hint="eastAsia"/>
        </w:rPr>
        <w:fldChar w:fldCharType="separate"/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概率密度函数</w:t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，有着相同的</w:t>
      </w:r>
      <w:r>
        <w:fldChar w:fldCharType="begin"/>
      </w:r>
      <w:r>
        <w:instrText xml:space="preserve"> HYPERLINK "https://baike.baidu.com/item/%E5%88%86%E5%B8%83%E5%87%BD%E6%95%B0" \t "https://baike.baidu.com/item/%E7%8B%AC%E7%AB%8B%E5%90%8C%E5%88%86%E5%B8%83/_blank" </w:instrText>
      </w:r>
      <w:r>
        <w:fldChar w:fldCharType="separate"/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t>分布函数</w:t>
      </w:r>
      <w:r>
        <w:rPr>
          <w:rStyle w:val="6"/>
          <w:rFonts w:hint="eastAsia" w:asciiTheme="minorEastAsia" w:hAnsiTheme="minorEastAsia" w:cstheme="minor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，相同的期望、方差。</w:t>
      </w:r>
      <w:r>
        <w:rPr>
          <w:rFonts w:hint="eastAsia" w:asciiTheme="minorEastAsia" w:hAnsiTheme="minorEastAsia" w:cstheme="minorEastAsia"/>
          <w:color w:val="0070C0"/>
          <w:kern w:val="0"/>
          <w:sz w:val="32"/>
          <w:szCs w:val="32"/>
          <w:shd w:val="clear" w:color="auto" w:fill="FFFFFF"/>
          <w:lang w:bidi="ar"/>
        </w:rPr>
        <w:t>如实验条件保持不变，一系列的抛硬币的正反面结果是独立同分布</w:t>
      </w:r>
      <w:r>
        <w:rPr>
          <w:rFonts w:hint="eastAsia" w:asciiTheme="minorEastAsia" w:hAnsiTheme="minorEastAsia" w:cstheme="minorEastAsia"/>
          <w:color w:val="333333"/>
          <w:kern w:val="0"/>
          <w:sz w:val="32"/>
          <w:szCs w:val="32"/>
          <w:shd w:val="clear" w:color="auto" w:fill="FFFFFF"/>
          <w:lang w:bidi="ar"/>
        </w:rPr>
        <w:t>。</w:t>
      </w:r>
    </w:p>
    <w:p>
      <w:pPr>
        <w:ind w:firstLine="420"/>
      </w:pPr>
      <w:r>
        <w:drawing>
          <wp:inline distT="0" distB="0" distL="114300" distR="114300">
            <wp:extent cx="5273675" cy="2008505"/>
            <wp:effectExtent l="0" t="0" r="146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4627245" cy="189992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358" cy="1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一元模型也是独立同分布</w:t>
      </w:r>
    </w:p>
    <w:p>
      <w:pPr>
        <w:ind w:firstLine="420"/>
      </w:pPr>
      <w:r>
        <w:drawing>
          <wp:inline distT="0" distB="0" distL="0" distR="0">
            <wp:extent cx="5274310" cy="1747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87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186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973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3818890" cy="8851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3665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2606675"/>
            <wp:effectExtent l="0" t="0" r="8255" b="1460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上半部分用词表，下半部用隐马</w:t>
      </w:r>
    </w:p>
    <w:p>
      <w:r>
        <w:drawing>
          <wp:inline distT="0" distB="0" distL="114300" distR="114300">
            <wp:extent cx="6323330" cy="2799080"/>
            <wp:effectExtent l="0" t="0" r="1270" b="508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  <w:shd w:val="clear" w:color="auto" w:fill="FFFFFF"/>
        </w:rPr>
        <w:t>N阶马尔科夫就是N-1元模型</w:t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  <w:shd w:val="clear" w:color="auto" w:fill="FFFFFF"/>
        </w:rPr>
      </w:pPr>
      <w:r>
        <w:rPr>
          <w:rFonts w:hint="eastAsia" w:asciiTheme="minorEastAsia" w:hAnsiTheme="minorEastAsia" w:cstheme="minorEastAsia"/>
          <w:b/>
          <w:bCs/>
          <w:color w:val="FF0000"/>
          <w:sz w:val="32"/>
          <w:szCs w:val="32"/>
          <w:shd w:val="clear" w:color="auto" w:fill="FFFFFF"/>
        </w:rPr>
        <w:t>马尔科夫模型</w:t>
      </w:r>
      <w:r>
        <w:rPr>
          <w:rFonts w:hint="eastAsia" w:ascii="Arial" w:hAnsi="Arial" w:eastAsia="宋体" w:cs="Arial"/>
          <w:color w:val="0000FF"/>
          <w:sz w:val="32"/>
          <w:szCs w:val="32"/>
          <w:shd w:val="clear" w:color="auto" w:fill="FFFFFF"/>
        </w:rPr>
        <w:t>主要应用于</w:t>
      </w:r>
      <w:r>
        <w:rPr>
          <w:rFonts w:ascii="Arial" w:hAnsi="Arial" w:eastAsia="宋体" w:cs="Arial"/>
          <w:b/>
          <w:bCs/>
          <w:color w:val="FF0000"/>
          <w:sz w:val="32"/>
          <w:szCs w:val="32"/>
          <w:shd w:val="clear" w:color="auto" w:fill="FFFFFF"/>
        </w:rPr>
        <w:t>语音识别、音字转换、词性标注</w:t>
      </w:r>
    </w:p>
    <w:p>
      <w:pPr>
        <w:ind w:firstLine="420"/>
      </w:pPr>
      <w:r>
        <w:drawing>
          <wp:inline distT="0" distB="0" distL="114300" distR="114300">
            <wp:extent cx="5266690" cy="2437765"/>
            <wp:effectExtent l="0" t="0" r="635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先验概率=初始概率(第一个词出现的概率)</w:t>
      </w:r>
      <w:r>
        <w:rPr>
          <w:rFonts w:hint="eastAsia" w:asciiTheme="minorEastAsia" w:hAnsiTheme="minorEastAsia" w:cstheme="minorEastAsia"/>
          <w:b/>
          <w:bCs/>
          <w:color w:val="FF0000"/>
          <w:sz w:val="32"/>
          <w:szCs w:val="32"/>
          <w:lang w:eastAsia="zh-CN"/>
        </w:rPr>
        <w:t>π</w:t>
      </w:r>
      <w:r>
        <w:rPr>
          <w:rFonts w:hint="eastAsia" w:asciiTheme="minorEastAsia" w:hAnsiTheme="minorEastAsia" w:cstheme="minorEastAsia"/>
          <w:b/>
          <w:bCs/>
          <w:color w:val="FF0000"/>
          <w:sz w:val="32"/>
          <w:szCs w:val="32"/>
          <w:lang w:val="en-US" w:eastAsia="zh-CN"/>
        </w:rPr>
        <w:t>k表示</w:t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条件概率=状态转移概率</w:t>
      </w:r>
      <w:r>
        <w:rPr>
          <w:rFonts w:hint="eastAsia" w:asciiTheme="minorEastAsia" w:hAnsiTheme="minorEastAsia" w:cstheme="minorEastAsia"/>
          <w:color w:val="0000FF"/>
          <w:sz w:val="32"/>
          <w:szCs w:val="32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b/>
          <w:bCs/>
          <w:color w:val="FF0000"/>
          <w:sz w:val="32"/>
          <w:szCs w:val="32"/>
          <w:lang w:val="en-US" w:eastAsia="zh-CN"/>
        </w:rPr>
        <w:t>αk,l表示</w:t>
      </w:r>
    </w:p>
    <w:p>
      <w:pPr>
        <w:ind w:firstLine="420"/>
      </w:pPr>
      <w:r>
        <w:drawing>
          <wp:inline distT="0" distB="0" distL="114300" distR="114300">
            <wp:extent cx="4513580" cy="1950720"/>
            <wp:effectExtent l="0" t="0" r="1270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704590" cy="1761490"/>
            <wp:effectExtent l="0" t="0" r="1397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740785" cy="1901825"/>
            <wp:effectExtent l="0" t="0" r="825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最大似然法</w:t>
      </w:r>
    </w:p>
    <w:p>
      <w:pPr>
        <w:ind w:firstLine="420"/>
      </w:pPr>
      <w:r>
        <w:drawing>
          <wp:inline distT="0" distB="0" distL="114300" distR="114300">
            <wp:extent cx="5267960" cy="2182495"/>
            <wp:effectExtent l="0" t="0" r="5080" b="1206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066290"/>
            <wp:effectExtent l="0" t="0" r="1460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4785" cy="2346325"/>
            <wp:effectExtent l="0" t="0" r="8255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马尔科夫模型——只对一个序列数据建模</w:t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隐马尔可夫模型(HMM)——对两个序列数据建模</w:t>
      </w:r>
    </w:p>
    <w:p>
      <w:pPr>
        <w:ind w:firstLine="420"/>
      </w:pPr>
      <w:r>
        <w:drawing>
          <wp:inline distT="0" distB="0" distL="114300" distR="114300">
            <wp:extent cx="4410075" cy="1901825"/>
            <wp:effectExtent l="0" t="0" r="9525" b="317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橙色=观察序列=输入=一个句子</w:t>
      </w: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绿色=状态序列(隐藏序列)=输出=一个合适的切分方案</w:t>
      </w:r>
    </w:p>
    <w:p>
      <w:pPr>
        <w:ind w:firstLine="420"/>
      </w:pPr>
      <w:r>
        <w:drawing>
          <wp:inline distT="0" distB="0" distL="114300" distR="114300">
            <wp:extent cx="4649470" cy="2152650"/>
            <wp:effectExtent l="0" t="0" r="13970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1745"/>
            <wp:effectExtent l="0" t="0" r="2540" b="1333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hint="eastAsia" w:asciiTheme="minorEastAsia" w:hAnsiTheme="minorEastAsia" w:cstheme="minorEastAsia"/>
          <w:color w:val="0000FF"/>
          <w:sz w:val="32"/>
          <w:szCs w:val="32"/>
        </w:rPr>
        <w:t>发射概率=状态序列到观测序列(隐藏序列)上图的垂直线</w:t>
      </w:r>
    </w:p>
    <w:p>
      <w:pPr>
        <w:ind w:firstLine="420"/>
      </w:pPr>
      <w:r>
        <w:drawing>
          <wp:inline distT="0" distB="0" distL="114300" distR="114300">
            <wp:extent cx="5271135" cy="2477770"/>
            <wp:effectExtent l="0" t="0" r="1905" b="635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有了汉字就知道读音</w:t>
      </w:r>
    </w:p>
    <w:p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比如 发射概率(绿色到橙色垂直线)</w:t>
      </w:r>
    </w:p>
    <w:p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（了—&gt; le 30% liao 70% ，这—&gt;zhe 100%）</w:t>
      </w:r>
    </w:p>
    <w:p>
      <w:pPr>
        <w:ind w:firstLine="420"/>
      </w:pPr>
      <w:r>
        <w:drawing>
          <wp:inline distT="0" distB="0" distL="114300" distR="114300">
            <wp:extent cx="3823970" cy="1735455"/>
            <wp:effectExtent l="0" t="0" r="1270" b="190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465070"/>
            <wp:effectExtent l="0" t="0" r="635" b="381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结巴分词：</w:t>
      </w:r>
    </w:p>
    <w:p>
      <w:pPr>
        <w:ind w:left="420" w:firstLine="420"/>
      </w:pPr>
      <w:r>
        <w:rPr>
          <w:rFonts w:hint="eastAsia"/>
        </w:rPr>
        <w:t>起始概率prob_start.py 转移概率prob_trans.py 发射概率prob_emit.py</w:t>
      </w:r>
    </w:p>
    <w:p>
      <w:pPr>
        <w:ind w:firstLine="420"/>
        <w:rPr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隐马尔科夫都是以字计算</w:t>
      </w:r>
    </w:p>
    <w:p>
      <w:pPr>
        <w:ind w:firstLine="420"/>
      </w:pPr>
      <w:r>
        <w:drawing>
          <wp:inline distT="0" distB="0" distL="114300" distR="114300">
            <wp:extent cx="4423410" cy="1945005"/>
            <wp:effectExtent l="0" t="0" r="11430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423410" cy="1978660"/>
            <wp:effectExtent l="0" t="0" r="11430" b="254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463165"/>
            <wp:effectExtent l="0" t="0" r="1905" b="571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11935"/>
            <wp:effectExtent l="0" t="0" r="3810" b="1206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结巴demo.py </w:t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前向概率：太暴力了</w:t>
      </w:r>
      <w:r>
        <w:rPr>
          <w:rFonts w:hint="eastAsia"/>
          <w:color w:val="0070C0"/>
          <w:sz w:val="32"/>
          <w:szCs w:val="32"/>
          <w:lang w:eastAsia="zh-CN"/>
        </w:rPr>
        <w:t>，复杂度高</w:t>
      </w:r>
    </w:p>
    <w:p>
      <w:pPr>
        <w:ind w:firstLine="420"/>
        <w:rPr>
          <w:rFonts w:hint="eastAsia"/>
        </w:rPr>
      </w:pPr>
    </w:p>
    <w:p>
      <w:pPr>
        <w:ind w:firstLine="420"/>
      </w:pPr>
      <w:r>
        <w:drawing>
          <wp:inline distT="0" distB="0" distL="0" distR="0">
            <wp:extent cx="5274310" cy="25654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3337560"/>
            <wp:effectExtent l="0" t="0" r="63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</w:rPr>
      </w:pPr>
    </w:p>
    <w:p>
      <w:pPr>
        <w:ind w:firstLine="420"/>
      </w:pPr>
    </w:p>
    <w:p>
      <w:pPr>
        <w:ind w:firstLine="420"/>
        <w:rPr>
          <w:rFonts w:hint="eastAsia" w:eastAsiaTheme="minorEastAsia"/>
          <w:color w:val="0070C0"/>
          <w:sz w:val="32"/>
          <w:szCs w:val="32"/>
          <w:lang w:eastAsia="zh-CN"/>
        </w:rPr>
      </w:pPr>
      <w:r>
        <w:rPr>
          <w:rFonts w:hint="eastAsia"/>
          <w:color w:val="0070C0"/>
          <w:sz w:val="32"/>
          <w:szCs w:val="32"/>
          <w:lang w:eastAsia="zh-CN"/>
        </w:rPr>
        <w:t>这个不暴力</w:t>
      </w:r>
    </w:p>
    <w:p>
      <w:pPr>
        <w:ind w:firstLine="420"/>
      </w:pPr>
      <w:r>
        <w:drawing>
          <wp:inline distT="0" distB="0" distL="0" distR="0">
            <wp:extent cx="4460240" cy="2122170"/>
            <wp:effectExtent l="0" t="0" r="508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9425" cy="21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2352675"/>
            <wp:effectExtent l="0" t="0" r="5715" b="952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</w:rPr>
      </w:pPr>
      <w:r>
        <w:rPr>
          <w:rFonts w:hint="eastAsia"/>
        </w:rPr>
        <w:br w:type="page"/>
      </w:r>
    </w:p>
    <w:p>
      <w:pPr>
        <w:ind w:firstLine="420"/>
      </w:pPr>
      <w:r>
        <w:drawing>
          <wp:inline distT="0" distB="0" distL="114300" distR="114300">
            <wp:extent cx="5271770" cy="2285365"/>
            <wp:effectExtent l="0" t="0" r="1270" b="63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2334895"/>
            <wp:effectExtent l="0" t="0" r="1270" b="1206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451735"/>
            <wp:effectExtent l="0" t="0" r="6350" b="190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272280" cy="1957705"/>
            <wp:effectExtent l="0" t="0" r="10160" b="825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eastAsia="zh-CN"/>
        </w:rPr>
      </w:pPr>
      <w:r>
        <w:drawing>
          <wp:inline distT="0" distB="0" distL="114300" distR="114300">
            <wp:extent cx="5267325" cy="2631440"/>
            <wp:effectExtent l="0" t="0" r="5715" b="508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eastAsia="zh-CN"/>
        </w:rPr>
      </w:pPr>
      <w:r>
        <w:drawing>
          <wp:inline distT="0" distB="0" distL="114300" distR="114300">
            <wp:extent cx="5272405" cy="2498090"/>
            <wp:effectExtent l="0" t="0" r="635" b="127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 w:asciiTheme="minorEastAsia" w:hAnsiTheme="minorEastAsia"/>
          <w:color w:val="0070C0"/>
          <w:sz w:val="32"/>
          <w:szCs w:val="32"/>
        </w:rPr>
      </w:pPr>
      <w:r>
        <w:rPr>
          <w:rFonts w:asciiTheme="minorEastAsia" w:hAnsiTheme="minorEastAsia"/>
          <w:color w:val="0070C0"/>
          <w:sz w:val="32"/>
          <w:szCs w:val="32"/>
        </w:rPr>
        <w:t>Viterbi</w:t>
      </w:r>
      <w:r>
        <w:rPr>
          <w:rFonts w:hint="eastAsia" w:asciiTheme="minorEastAsia" w:hAnsiTheme="minorEastAsia"/>
          <w:color w:val="0070C0"/>
          <w:sz w:val="32"/>
          <w:szCs w:val="32"/>
        </w:rPr>
        <w:t>:使用动态规划的思想</w:t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2516505"/>
            <wp:effectExtent l="0" t="0" r="1397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FAE04"/>
    <w:multiLevelType w:val="singleLevel"/>
    <w:tmpl w:val="5AAFAE04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26E"/>
    <w:rsid w:val="000A5F5C"/>
    <w:rsid w:val="000D6610"/>
    <w:rsid w:val="00122BD7"/>
    <w:rsid w:val="001562FE"/>
    <w:rsid w:val="00157EAB"/>
    <w:rsid w:val="0026326E"/>
    <w:rsid w:val="002E5B7C"/>
    <w:rsid w:val="00371449"/>
    <w:rsid w:val="00386475"/>
    <w:rsid w:val="00485A8E"/>
    <w:rsid w:val="00512533"/>
    <w:rsid w:val="005F0AF0"/>
    <w:rsid w:val="005F5F2B"/>
    <w:rsid w:val="007E34D6"/>
    <w:rsid w:val="009F00E4"/>
    <w:rsid w:val="00B109C5"/>
    <w:rsid w:val="00CC07C3"/>
    <w:rsid w:val="00DD1D04"/>
    <w:rsid w:val="00EC0816"/>
    <w:rsid w:val="010C3815"/>
    <w:rsid w:val="02994B08"/>
    <w:rsid w:val="0358525D"/>
    <w:rsid w:val="04F1427E"/>
    <w:rsid w:val="058B5EA6"/>
    <w:rsid w:val="05F003E1"/>
    <w:rsid w:val="06443B2D"/>
    <w:rsid w:val="06EB4E80"/>
    <w:rsid w:val="09476D0C"/>
    <w:rsid w:val="09AF7DD2"/>
    <w:rsid w:val="0A3E67B1"/>
    <w:rsid w:val="0B4F68F8"/>
    <w:rsid w:val="0B640444"/>
    <w:rsid w:val="0BC12C8E"/>
    <w:rsid w:val="0CB668A4"/>
    <w:rsid w:val="0CF00DD0"/>
    <w:rsid w:val="0CF03514"/>
    <w:rsid w:val="0E16012B"/>
    <w:rsid w:val="103E37B5"/>
    <w:rsid w:val="111E3DE5"/>
    <w:rsid w:val="11911488"/>
    <w:rsid w:val="12F27D49"/>
    <w:rsid w:val="13C86A99"/>
    <w:rsid w:val="14C26BA8"/>
    <w:rsid w:val="15F93619"/>
    <w:rsid w:val="18107B96"/>
    <w:rsid w:val="18994057"/>
    <w:rsid w:val="18E04A25"/>
    <w:rsid w:val="194C6EE1"/>
    <w:rsid w:val="1988125A"/>
    <w:rsid w:val="19BA09AF"/>
    <w:rsid w:val="19E454A9"/>
    <w:rsid w:val="1A1C05F3"/>
    <w:rsid w:val="1A624BD4"/>
    <w:rsid w:val="1B286A0E"/>
    <w:rsid w:val="1C035484"/>
    <w:rsid w:val="1C653BA7"/>
    <w:rsid w:val="1CB4422D"/>
    <w:rsid w:val="1F4C10E7"/>
    <w:rsid w:val="20256374"/>
    <w:rsid w:val="20401B86"/>
    <w:rsid w:val="206172D8"/>
    <w:rsid w:val="20D813F6"/>
    <w:rsid w:val="21056A80"/>
    <w:rsid w:val="22A55D72"/>
    <w:rsid w:val="258276C7"/>
    <w:rsid w:val="25B92833"/>
    <w:rsid w:val="27CF17DD"/>
    <w:rsid w:val="295D1231"/>
    <w:rsid w:val="297077E6"/>
    <w:rsid w:val="2AC91B0A"/>
    <w:rsid w:val="2AF05197"/>
    <w:rsid w:val="2BE435F8"/>
    <w:rsid w:val="2C5B0946"/>
    <w:rsid w:val="2CA27DDE"/>
    <w:rsid w:val="2DD679E3"/>
    <w:rsid w:val="2DD7767B"/>
    <w:rsid w:val="2E551B99"/>
    <w:rsid w:val="2F59321E"/>
    <w:rsid w:val="2FB54A6F"/>
    <w:rsid w:val="2FDE24BF"/>
    <w:rsid w:val="30DE766A"/>
    <w:rsid w:val="31DD4A89"/>
    <w:rsid w:val="32203BBB"/>
    <w:rsid w:val="343A0EA3"/>
    <w:rsid w:val="35246445"/>
    <w:rsid w:val="383C7B1E"/>
    <w:rsid w:val="39772745"/>
    <w:rsid w:val="39E9738D"/>
    <w:rsid w:val="3AD96988"/>
    <w:rsid w:val="3B350D45"/>
    <w:rsid w:val="3B412AD2"/>
    <w:rsid w:val="3BCB180C"/>
    <w:rsid w:val="3C3344F0"/>
    <w:rsid w:val="3C6F752C"/>
    <w:rsid w:val="3CA96940"/>
    <w:rsid w:val="3CE61DF9"/>
    <w:rsid w:val="3D766AA5"/>
    <w:rsid w:val="3ED16733"/>
    <w:rsid w:val="3F8527FB"/>
    <w:rsid w:val="3FBB03AF"/>
    <w:rsid w:val="411130BF"/>
    <w:rsid w:val="417F4235"/>
    <w:rsid w:val="42496693"/>
    <w:rsid w:val="42717D0B"/>
    <w:rsid w:val="43C47CFC"/>
    <w:rsid w:val="44673940"/>
    <w:rsid w:val="459757C7"/>
    <w:rsid w:val="4630019B"/>
    <w:rsid w:val="4894507B"/>
    <w:rsid w:val="48F2064A"/>
    <w:rsid w:val="498C4C00"/>
    <w:rsid w:val="49E11EF2"/>
    <w:rsid w:val="4A1E02C5"/>
    <w:rsid w:val="4A426348"/>
    <w:rsid w:val="4E5A5EFA"/>
    <w:rsid w:val="4E784D2A"/>
    <w:rsid w:val="52514E80"/>
    <w:rsid w:val="52534756"/>
    <w:rsid w:val="52E62D28"/>
    <w:rsid w:val="52F02B16"/>
    <w:rsid w:val="538271E0"/>
    <w:rsid w:val="55A850B0"/>
    <w:rsid w:val="564E7A49"/>
    <w:rsid w:val="570D6DDA"/>
    <w:rsid w:val="59363F9A"/>
    <w:rsid w:val="5A180FA9"/>
    <w:rsid w:val="5A6316B9"/>
    <w:rsid w:val="5B3A5A8D"/>
    <w:rsid w:val="5BE268DC"/>
    <w:rsid w:val="5C114360"/>
    <w:rsid w:val="5C8E5FB6"/>
    <w:rsid w:val="5D68217B"/>
    <w:rsid w:val="5D887BFE"/>
    <w:rsid w:val="5F063778"/>
    <w:rsid w:val="5F3A609E"/>
    <w:rsid w:val="5F7A22AF"/>
    <w:rsid w:val="609333DA"/>
    <w:rsid w:val="60B57BEF"/>
    <w:rsid w:val="60EF7527"/>
    <w:rsid w:val="61F549C2"/>
    <w:rsid w:val="61FB3770"/>
    <w:rsid w:val="6254210F"/>
    <w:rsid w:val="62C20CC7"/>
    <w:rsid w:val="63CC1A2A"/>
    <w:rsid w:val="64357E02"/>
    <w:rsid w:val="64C277DA"/>
    <w:rsid w:val="66734D0F"/>
    <w:rsid w:val="67662F46"/>
    <w:rsid w:val="67AD23C3"/>
    <w:rsid w:val="68BC5505"/>
    <w:rsid w:val="68DA61B4"/>
    <w:rsid w:val="6A712283"/>
    <w:rsid w:val="6ABD0D40"/>
    <w:rsid w:val="6B5013F4"/>
    <w:rsid w:val="6B8232A0"/>
    <w:rsid w:val="6DB76C12"/>
    <w:rsid w:val="71235F0D"/>
    <w:rsid w:val="71CE0B14"/>
    <w:rsid w:val="735D25AC"/>
    <w:rsid w:val="738B1185"/>
    <w:rsid w:val="73ED3438"/>
    <w:rsid w:val="743623BA"/>
    <w:rsid w:val="74825C51"/>
    <w:rsid w:val="75715DAF"/>
    <w:rsid w:val="75802C64"/>
    <w:rsid w:val="770A69AE"/>
    <w:rsid w:val="78363CF6"/>
    <w:rsid w:val="785037CC"/>
    <w:rsid w:val="7C677ECF"/>
    <w:rsid w:val="7DCB3FDD"/>
    <w:rsid w:val="7F3D4D00"/>
    <w:rsid w:val="7F80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uiPriority w:val="0"/>
    <w:rPr>
      <w:sz w:val="18"/>
      <w:szCs w:val="18"/>
    </w:rPr>
  </w:style>
  <w:style w:type="paragraph" w:styleId="3">
    <w:name w:val="footer"/>
    <w:basedOn w:val="1"/>
    <w:link w:val="10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8">
    <w:name w:val="批注框文本 Char"/>
    <w:basedOn w:val="5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9">
    <w:name w:val="页眉 Char"/>
    <w:basedOn w:val="5"/>
    <w:link w:val="4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0">
    <w:name w:val="页脚 Char"/>
    <w:basedOn w:val="5"/>
    <w:link w:val="3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eip.gtafe.com</Company>
  <Pages>15</Pages>
  <Words>350</Words>
  <Characters>1996</Characters>
  <Lines>16</Lines>
  <Paragraphs>4</Paragraphs>
  <TotalTime>0</TotalTime>
  <ScaleCrop>false</ScaleCrop>
  <LinksUpToDate>false</LinksUpToDate>
  <CharactersWithSpaces>2342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Administrator.PC-20170729ZLHV</dc:creator>
  <cp:lastModifiedBy>Administrator</cp:lastModifiedBy>
  <dcterms:modified xsi:type="dcterms:W3CDTF">2018-03-26T17:09:07Z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